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手数料減額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日　　</w:t>
      </w:r>
    </w:p>
    <w:p>
      <w:pPr>
        <w:pStyle w:val="0"/>
        <w:spacing w:line="72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南砺市下水道条例施行規則第</w:t>
      </w:r>
      <w:r>
        <w:rPr>
          <w:rFonts w:hint="eastAsia"/>
        </w:rPr>
        <w:t>39</w:t>
      </w:r>
      <w:r>
        <w:rPr>
          <w:rFonts w:hint="eastAsia"/>
        </w:rPr>
        <w:t>条の規定により申請します。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6212"/>
      </w:tblGrid>
      <w:tr>
        <w:trPr>
          <w:cantSplit/>
          <w:trHeight w:val="10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減額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免除</w:t>
            </w:r>
          </w:p>
        </w:tc>
      </w:tr>
      <w:tr>
        <w:trPr>
          <w:cantSplit/>
          <w:trHeight w:val="10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減額・免除額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cantSplit/>
          <w:trHeight w:val="300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減額・免除理由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1"/>
        <w:textAlignment w:val="center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2025-06-24T05:33:06Z</dcterms:modified>
  <cp:revision>4</cp:revision>
</cp:coreProperties>
</file>